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tblLook w:val="04A0" w:firstRow="1" w:lastRow="0" w:firstColumn="1" w:lastColumn="0" w:noHBand="0" w:noVBand="1"/>
      </w:tblPr>
      <w:tblGrid>
        <w:gridCol w:w="704"/>
        <w:gridCol w:w="3119"/>
        <w:gridCol w:w="5805"/>
      </w:tblGrid>
      <w:tr w:rsidR="00A25A5B" w:rsidRPr="00A25A5B" w14:paraId="73487349" w14:textId="77777777" w:rsidTr="00A25A5B">
        <w:tc>
          <w:tcPr>
            <w:tcW w:w="704" w:type="dxa"/>
          </w:tcPr>
          <w:p w14:paraId="06B86FA8"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b/>
                <w:bCs/>
                <w:sz w:val="20"/>
                <w:szCs w:val="20"/>
              </w:rPr>
              <w:t>N.</w:t>
            </w:r>
          </w:p>
        </w:tc>
        <w:tc>
          <w:tcPr>
            <w:tcW w:w="3119" w:type="dxa"/>
          </w:tcPr>
          <w:p w14:paraId="6CA033F4"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b/>
                <w:bCs/>
                <w:sz w:val="20"/>
                <w:szCs w:val="20"/>
              </w:rPr>
              <w:t>CRITERI DI SELEZIONE DELLE OPERAZIONI</w:t>
            </w:r>
          </w:p>
        </w:tc>
        <w:tc>
          <w:tcPr>
            <w:tcW w:w="5805" w:type="dxa"/>
          </w:tcPr>
          <w:p w14:paraId="58F6131F"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b/>
                <w:bCs/>
                <w:sz w:val="20"/>
                <w:szCs w:val="20"/>
              </w:rPr>
              <w:t>Nota metodologica</w:t>
            </w:r>
          </w:p>
        </w:tc>
      </w:tr>
      <w:tr w:rsidR="00A25A5B" w:rsidRPr="00A25A5B" w14:paraId="4CDCB632" w14:textId="77777777" w:rsidTr="00A25A5B">
        <w:tc>
          <w:tcPr>
            <w:tcW w:w="9628" w:type="dxa"/>
            <w:gridSpan w:val="3"/>
          </w:tcPr>
          <w:p w14:paraId="3D7BAE5B"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b/>
                <w:bCs/>
                <w:i/>
                <w:iCs/>
                <w:sz w:val="20"/>
                <w:szCs w:val="20"/>
              </w:rPr>
              <w:t>CRITERI TRASVERSALI</w:t>
            </w:r>
          </w:p>
        </w:tc>
      </w:tr>
      <w:tr w:rsidR="00A25A5B" w:rsidRPr="00A25A5B" w14:paraId="2FE1EAB5" w14:textId="77777777" w:rsidTr="00A25A5B">
        <w:tc>
          <w:tcPr>
            <w:tcW w:w="704" w:type="dxa"/>
          </w:tcPr>
          <w:p w14:paraId="4A466D89"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T1</w:t>
            </w:r>
          </w:p>
        </w:tc>
        <w:tc>
          <w:tcPr>
            <w:tcW w:w="3119" w:type="dxa"/>
          </w:tcPr>
          <w:p w14:paraId="0AE504A7"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 xml:space="preserve">Il soggetto richiedente è di sesso femminile ovvero la maggioranza delle quote di rappresentanza negli organismi decisionali è detenuta da persone di sesso femminile, ovvero la maggioranza della forza lavoro è di sesso femminile </w:t>
            </w:r>
          </w:p>
        </w:tc>
        <w:tc>
          <w:tcPr>
            <w:tcW w:w="5805" w:type="dxa"/>
          </w:tcPr>
          <w:p w14:paraId="0EF03304"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legale rappresentante è di sesso femminile, ovvero la maggioranza delle quote dell’organo decisionale è detenuta da persone di sesso femminile, ovvero la maggioranza della forza lavoro della componente femminile sulla forza lavoro complessiva del richiedente deve essere calcolata in termini di ULA; tale rapporto dovrà essere superiore al 50% per il conseguimento del valore pari ad 1 del coefficiente C</w:t>
            </w:r>
          </w:p>
        </w:tc>
      </w:tr>
      <w:tr w:rsidR="00A25A5B" w:rsidRPr="00A25A5B" w14:paraId="37B6D62E" w14:textId="77777777" w:rsidTr="00A25A5B">
        <w:tc>
          <w:tcPr>
            <w:tcW w:w="704" w:type="dxa"/>
          </w:tcPr>
          <w:p w14:paraId="08F5FBD2"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T2</w:t>
            </w:r>
          </w:p>
        </w:tc>
        <w:tc>
          <w:tcPr>
            <w:tcW w:w="3119" w:type="dxa"/>
          </w:tcPr>
          <w:p w14:paraId="5FCA6780"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 xml:space="preserve">Minore età del rappresentante legale ovvero minore età media dei componenti degli organi decisionale ovvero minore età della maggioranza della forza lavoro </w:t>
            </w:r>
          </w:p>
        </w:tc>
        <w:tc>
          <w:tcPr>
            <w:tcW w:w="5805" w:type="dxa"/>
          </w:tcPr>
          <w:p w14:paraId="72F18CE3"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Minore età del legale rappresentante, ovvero minore età media dei componenti degli organi decisionali ovvero la minore età della forza lavoro, così come la forza lavoro totale, deve essere calcolata in termini di ULA; il rapporto tra la forza lavoro di unità lavorative con età inferiore o uguale ad anni 40 e la forza lavoro totale dovrà essere superiore al 50% per il conseguimento del valore pari ad 1 del coefficiente C</w:t>
            </w:r>
          </w:p>
        </w:tc>
      </w:tr>
      <w:tr w:rsidR="00A25A5B" w:rsidRPr="00A25A5B" w14:paraId="405F2950" w14:textId="77777777" w:rsidTr="00A25A5B">
        <w:tc>
          <w:tcPr>
            <w:tcW w:w="9628" w:type="dxa"/>
            <w:gridSpan w:val="3"/>
          </w:tcPr>
          <w:p w14:paraId="7C4363F8"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b/>
                <w:bCs/>
                <w:i/>
                <w:iCs/>
                <w:sz w:val="20"/>
                <w:szCs w:val="20"/>
              </w:rPr>
              <w:t>CRITERI SPECIFICI DEL RICHIEDENTE</w:t>
            </w:r>
          </w:p>
        </w:tc>
      </w:tr>
      <w:tr w:rsidR="00A25A5B" w:rsidRPr="00A25A5B" w14:paraId="2FB6B6A2" w14:textId="77777777" w:rsidTr="00A25A5B">
        <w:tc>
          <w:tcPr>
            <w:tcW w:w="704" w:type="dxa"/>
          </w:tcPr>
          <w:p w14:paraId="1DC0C498"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SR1</w:t>
            </w:r>
          </w:p>
        </w:tc>
        <w:tc>
          <w:tcPr>
            <w:tcW w:w="3119" w:type="dxa"/>
          </w:tcPr>
          <w:p w14:paraId="0742CF97"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 xml:space="preserve">Il richiedente è una Micro, Piccola e Media Impresa (PMI) </w:t>
            </w:r>
          </w:p>
        </w:tc>
        <w:tc>
          <w:tcPr>
            <w:tcW w:w="5805" w:type="dxa"/>
          </w:tcPr>
          <w:p w14:paraId="29229B90"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 dettagli sui parametri di riferimento delle PMI sono contenuti nella Raccomandazione dell’Unione Europa n. 2003/361/CE, recepita in Italia con il Decreto Ministeriale 18 aprile 2005. Il criterio mira a favorire le imprese aventi parametri di forza lavoro e consistenza dei bilanci più piccoli</w:t>
            </w:r>
          </w:p>
        </w:tc>
      </w:tr>
      <w:tr w:rsidR="00A25A5B" w:rsidRPr="00A25A5B" w14:paraId="3A563B70" w14:textId="77777777" w:rsidTr="00A25A5B">
        <w:tc>
          <w:tcPr>
            <w:tcW w:w="704" w:type="dxa"/>
          </w:tcPr>
          <w:p w14:paraId="0F893E18"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SR2</w:t>
            </w:r>
          </w:p>
        </w:tc>
        <w:tc>
          <w:tcPr>
            <w:tcW w:w="3119" w:type="dxa"/>
          </w:tcPr>
          <w:p w14:paraId="1F1FDF02"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Il richiedente è in possesso della certificazione per la parità di genere in base alla prassi UNI/PdR125:2022</w:t>
            </w:r>
          </w:p>
        </w:tc>
        <w:tc>
          <w:tcPr>
            <w:tcW w:w="5805" w:type="dxa"/>
          </w:tcPr>
          <w:p w14:paraId="24BB23B9"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Riferimento alle linee guida sul sistema di gestione per la parità di genere previsto dall’UNI Ente Italiano di Normazione </w:t>
            </w:r>
          </w:p>
        </w:tc>
      </w:tr>
      <w:tr w:rsidR="00A25A5B" w:rsidRPr="00A25A5B" w14:paraId="538D898A" w14:textId="77777777" w:rsidTr="00A25A5B">
        <w:tc>
          <w:tcPr>
            <w:tcW w:w="704" w:type="dxa"/>
          </w:tcPr>
          <w:p w14:paraId="1932F941"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SR3</w:t>
            </w:r>
          </w:p>
        </w:tc>
        <w:tc>
          <w:tcPr>
            <w:tcW w:w="3119" w:type="dxa"/>
          </w:tcPr>
          <w:p w14:paraId="5390E39E"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 xml:space="preserve">Esperienza del richiedente nel campo dell’inclusione sociale </w:t>
            </w:r>
          </w:p>
        </w:tc>
        <w:tc>
          <w:tcPr>
            <w:tcW w:w="5805" w:type="dxa"/>
          </w:tcPr>
          <w:p w14:paraId="7878F64B"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Dovrà essere valutato se il richiedente ha partecipato a corsi di formazione ovvero ha lavorato nel campo del sociale, anche in maniera volontaria, ovvero ha avviato processi di inclusione sociale Nel caso di imprese tale requisito per essere valutato con coefficiente C pari ad uno, può essere posseduto dal rappresentante legale, amministratore unico ovvero da uno dei componenti dell’organo decisionale.</w:t>
            </w:r>
          </w:p>
        </w:tc>
      </w:tr>
      <w:tr w:rsidR="00A25A5B" w:rsidRPr="00A25A5B" w14:paraId="10382B24" w14:textId="77777777" w:rsidTr="00A25A5B">
        <w:tc>
          <w:tcPr>
            <w:tcW w:w="704" w:type="dxa"/>
          </w:tcPr>
          <w:p w14:paraId="77E25B5B"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SR4</w:t>
            </w:r>
          </w:p>
        </w:tc>
        <w:tc>
          <w:tcPr>
            <w:tcW w:w="3119" w:type="dxa"/>
          </w:tcPr>
          <w:p w14:paraId="41D7A54C"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sz w:val="20"/>
                <w:szCs w:val="20"/>
              </w:rPr>
              <w:t xml:space="preserve">Numero di dipendenti presenti in azienda con disabilità </w:t>
            </w:r>
          </w:p>
        </w:tc>
        <w:tc>
          <w:tcPr>
            <w:tcW w:w="5805" w:type="dxa"/>
          </w:tcPr>
          <w:p w14:paraId="08ED3C8A"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Il parametro deve essere sempre calcolato in termini di ULA assegnando il valore zero al coefficiente C nel caso di ULA per i dipendenti con disabilità pari a zero e valore del coefficiente C pari ad 1 nel caso di ULA per i dipendenti con disabilità pari a valore massimo. Il criterio viene valutato attraverso una distribuzione a gradini </w:t>
            </w:r>
            <w:r w:rsidRPr="00A25A5B">
              <w:rPr>
                <w:rFonts w:ascii="Century Gothic" w:hAnsi="Century Gothic"/>
                <w:sz w:val="20"/>
                <w:szCs w:val="20"/>
              </w:rPr>
              <w:lastRenderedPageBreak/>
              <w:t>declinata dall’Organismo attuatore. Ad esempio C=0 ULA=0; C=0,25 0&lt;ULA</w:t>
            </w:r>
            <w:r w:rsidRPr="00A25A5B">
              <w:rPr>
                <w:rFonts w:ascii="Century Gothic" w:hAnsi="Century Gothic"/>
                <w:sz w:val="20"/>
                <w:szCs w:val="20"/>
                <w:u w:val="single"/>
              </w:rPr>
              <w:t>&lt;</w:t>
            </w:r>
            <w:r w:rsidRPr="00A25A5B">
              <w:rPr>
                <w:rFonts w:ascii="Century Gothic" w:hAnsi="Century Gothic"/>
                <w:sz w:val="20"/>
                <w:szCs w:val="20"/>
              </w:rPr>
              <w:t>1; C=0,50 1&lt;ULA</w:t>
            </w:r>
            <w:r w:rsidRPr="00A25A5B">
              <w:rPr>
                <w:rFonts w:ascii="Century Gothic" w:hAnsi="Century Gothic"/>
                <w:sz w:val="20"/>
                <w:szCs w:val="20"/>
                <w:u w:val="single"/>
              </w:rPr>
              <w:t>&lt;</w:t>
            </w:r>
            <w:r w:rsidRPr="00A25A5B">
              <w:rPr>
                <w:rFonts w:ascii="Century Gothic" w:hAnsi="Century Gothic"/>
                <w:sz w:val="20"/>
                <w:szCs w:val="20"/>
              </w:rPr>
              <w:t>2; C=0,75 2&lt;ULA</w:t>
            </w:r>
            <w:r w:rsidRPr="00A25A5B">
              <w:rPr>
                <w:rFonts w:ascii="Century Gothic" w:hAnsi="Century Gothic"/>
                <w:sz w:val="20"/>
                <w:szCs w:val="20"/>
                <w:u w:val="single"/>
              </w:rPr>
              <w:t>&lt;</w:t>
            </w:r>
            <w:r w:rsidRPr="00A25A5B">
              <w:rPr>
                <w:rFonts w:ascii="Century Gothic" w:hAnsi="Century Gothic"/>
                <w:sz w:val="20"/>
                <w:szCs w:val="20"/>
              </w:rPr>
              <w:t>3; C=1 ULA&gt;3</w:t>
            </w:r>
          </w:p>
        </w:tc>
      </w:tr>
      <w:tr w:rsidR="00A25A5B" w:rsidRPr="00A25A5B" w14:paraId="3F4F8BE1" w14:textId="77777777" w:rsidTr="00A25A5B">
        <w:tc>
          <w:tcPr>
            <w:tcW w:w="704" w:type="dxa"/>
            <w:shd w:val="clear" w:color="auto" w:fill="F2F2F2" w:themeFill="background1" w:themeFillShade="F2"/>
          </w:tcPr>
          <w:p w14:paraId="55DBAF9C"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lastRenderedPageBreak/>
              <w:t>SR5</w:t>
            </w:r>
          </w:p>
        </w:tc>
        <w:tc>
          <w:tcPr>
            <w:tcW w:w="3119" w:type="dxa"/>
            <w:shd w:val="clear" w:color="auto" w:fill="F2F2F2" w:themeFill="background1" w:themeFillShade="F2"/>
          </w:tcPr>
          <w:p w14:paraId="67ECE1F7"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 xml:space="preserve">Numero di soggetti partecipanti all’iniziativa in partenariato </w:t>
            </w:r>
          </w:p>
        </w:tc>
        <w:tc>
          <w:tcPr>
            <w:tcW w:w="5805" w:type="dxa"/>
            <w:shd w:val="clear" w:color="auto" w:fill="F2F2F2" w:themeFill="background1" w:themeFillShade="F2"/>
          </w:tcPr>
          <w:p w14:paraId="05A5A8F6" w14:textId="78A6C366" w:rsidR="00A25A5B" w:rsidRPr="00A25A5B" w:rsidRDefault="00A25A5B" w:rsidP="00A25A5B">
            <w:pPr>
              <w:spacing w:after="160" w:line="278" w:lineRule="auto"/>
              <w:rPr>
                <w:rFonts w:ascii="Century Gothic" w:hAnsi="Century Gothic"/>
                <w:sz w:val="20"/>
                <w:szCs w:val="20"/>
              </w:rPr>
            </w:pPr>
            <w:r>
              <w:rPr>
                <w:rFonts w:ascii="Century Gothic" w:hAnsi="Century Gothic"/>
                <w:sz w:val="20"/>
                <w:szCs w:val="20"/>
              </w:rPr>
              <w:t>Non applicabile</w:t>
            </w:r>
          </w:p>
        </w:tc>
      </w:tr>
      <w:tr w:rsidR="00A25A5B" w:rsidRPr="00A25A5B" w14:paraId="0ABD7763" w14:textId="77777777" w:rsidTr="00A25A5B">
        <w:tc>
          <w:tcPr>
            <w:tcW w:w="9628" w:type="dxa"/>
            <w:gridSpan w:val="3"/>
          </w:tcPr>
          <w:p w14:paraId="69B61E83"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b/>
                <w:bCs/>
                <w:i/>
                <w:iCs/>
                <w:sz w:val="20"/>
                <w:szCs w:val="20"/>
              </w:rPr>
              <w:t>CRITERI QUALITATIVI DELLA PROPOSTA PROGETTUALE</w:t>
            </w:r>
          </w:p>
        </w:tc>
      </w:tr>
      <w:tr w:rsidR="00A25A5B" w:rsidRPr="00A25A5B" w14:paraId="61FA9A9E" w14:textId="77777777" w:rsidTr="00A25A5B">
        <w:tc>
          <w:tcPr>
            <w:tcW w:w="704" w:type="dxa"/>
          </w:tcPr>
          <w:p w14:paraId="2199C4BE"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Q1</w:t>
            </w:r>
          </w:p>
        </w:tc>
        <w:tc>
          <w:tcPr>
            <w:tcW w:w="3119" w:type="dxa"/>
          </w:tcPr>
          <w:p w14:paraId="231D7435"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Coerenza con gli obiettivi dell’azione   </w:t>
            </w:r>
          </w:p>
        </w:tc>
        <w:tc>
          <w:tcPr>
            <w:tcW w:w="5805" w:type="dxa"/>
          </w:tcPr>
          <w:p w14:paraId="3BFFDE29"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livello di coerenza è valutato in: alto quando il progetto è coerente e pienamente rispondente alla necessità di rendere competitivo, resiliente e sostenibile il settore medio quando non è del tutto rispondente alle, esigenze del settore e basso quando centra parzialmente l’obiettivo dell’azione.</w:t>
            </w:r>
          </w:p>
        </w:tc>
      </w:tr>
      <w:tr w:rsidR="00A25A5B" w:rsidRPr="00A25A5B" w14:paraId="0CEADD5F" w14:textId="77777777" w:rsidTr="00A25A5B">
        <w:tc>
          <w:tcPr>
            <w:tcW w:w="704" w:type="dxa"/>
          </w:tcPr>
          <w:p w14:paraId="660A836D"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Q2</w:t>
            </w:r>
          </w:p>
        </w:tc>
        <w:tc>
          <w:tcPr>
            <w:tcW w:w="3119" w:type="dxa"/>
          </w:tcPr>
          <w:p w14:paraId="3C60D93F"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Livello di innovazione tecnologica mediante la valutazione del costo degli investimenti </w:t>
            </w:r>
            <w:r w:rsidRPr="00A25A5B">
              <w:rPr>
                <w:rFonts w:ascii="Century Gothic" w:hAnsi="Century Gothic"/>
                <w:i/>
                <w:sz w:val="20"/>
                <w:szCs w:val="20"/>
              </w:rPr>
              <w:t>green</w:t>
            </w:r>
            <w:r w:rsidRPr="00A25A5B">
              <w:rPr>
                <w:rFonts w:ascii="Century Gothic" w:hAnsi="Century Gothic"/>
                <w:iCs/>
                <w:sz w:val="20"/>
                <w:szCs w:val="20"/>
              </w:rPr>
              <w:t xml:space="preserve"> o per la resilienza</w:t>
            </w:r>
          </w:p>
        </w:tc>
        <w:tc>
          <w:tcPr>
            <w:tcW w:w="5805" w:type="dxa"/>
          </w:tcPr>
          <w:p w14:paraId="6A7B07E5"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Il criterio mira a misurare il livello di innovazione tecnologica green o per la resilienza della proposta. Il coefficiente C è dato dal rapporto tra la spesa prevista per gli investimenti green o per la resilienza sul costo totale del progetto </w:t>
            </w:r>
          </w:p>
        </w:tc>
      </w:tr>
      <w:tr w:rsidR="00A25A5B" w:rsidRPr="00A25A5B" w14:paraId="3809CFF4" w14:textId="77777777" w:rsidTr="00A25A5B">
        <w:tc>
          <w:tcPr>
            <w:tcW w:w="704" w:type="dxa"/>
          </w:tcPr>
          <w:p w14:paraId="293B3EAF"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Q3</w:t>
            </w:r>
          </w:p>
        </w:tc>
        <w:tc>
          <w:tcPr>
            <w:tcW w:w="3119" w:type="dxa"/>
          </w:tcPr>
          <w:p w14:paraId="60E089C0"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Numero di nuovi posti di lavoro previsti per le donne (PD)/numero di nuovi posti di lavoro (PT) </w:t>
            </w:r>
          </w:p>
        </w:tc>
        <w:tc>
          <w:tcPr>
            <w:tcW w:w="5805" w:type="dxa"/>
          </w:tcPr>
          <w:p w14:paraId="21118436"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 posti di lavoro sono computati mediante l’utilizzo delle ULA e si riferiscono ai posti di lavoro creati a seguito della realizzazione dell’operazione</w:t>
            </w:r>
          </w:p>
        </w:tc>
      </w:tr>
      <w:tr w:rsidR="00A25A5B" w:rsidRPr="00A25A5B" w14:paraId="4E8F0322" w14:textId="77777777" w:rsidTr="00A25A5B">
        <w:tc>
          <w:tcPr>
            <w:tcW w:w="704" w:type="dxa"/>
          </w:tcPr>
          <w:p w14:paraId="6B7B904A"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Q4</w:t>
            </w:r>
          </w:p>
        </w:tc>
        <w:tc>
          <w:tcPr>
            <w:tcW w:w="3119" w:type="dxa"/>
          </w:tcPr>
          <w:p w14:paraId="7E5B601D"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Numero di nuovi posti di lavoro previsti per i giovani (PG)/numero di nuovi posti di lavoro (PT) </w:t>
            </w:r>
          </w:p>
        </w:tc>
        <w:tc>
          <w:tcPr>
            <w:tcW w:w="5805" w:type="dxa"/>
          </w:tcPr>
          <w:p w14:paraId="128334D8"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 posti di lavoro sono computati mediante l’utilizzo delle ULA e si riferiscono ai posti di lavoro creati a seguito della realizzazione dell’operazione</w:t>
            </w:r>
          </w:p>
        </w:tc>
      </w:tr>
      <w:tr w:rsidR="00A25A5B" w:rsidRPr="00A25A5B" w14:paraId="3DD38836" w14:textId="77777777" w:rsidTr="00A25A5B">
        <w:tc>
          <w:tcPr>
            <w:tcW w:w="704" w:type="dxa"/>
          </w:tcPr>
          <w:p w14:paraId="5F77FFD3"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Q5</w:t>
            </w:r>
          </w:p>
        </w:tc>
        <w:tc>
          <w:tcPr>
            <w:tcW w:w="3119" w:type="dxa"/>
          </w:tcPr>
          <w:p w14:paraId="199E1EA4"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L’iniziativa prevede azioni specifiche ovvero soluzioni innovative per l’inclusione sociale </w:t>
            </w:r>
          </w:p>
        </w:tc>
        <w:tc>
          <w:tcPr>
            <w:tcW w:w="5805" w:type="dxa"/>
          </w:tcPr>
          <w:p w14:paraId="620A3D03"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criterio mira a favorire operazioni che tendono ad innovare la propria organizzazione lavorativa e le strutture per favorire l’inclusione sociale, quale ad esempio quelle legate al rafforzamento delle competenze digitali (</w:t>
            </w:r>
            <w:r w:rsidRPr="00A25A5B">
              <w:rPr>
                <w:rFonts w:ascii="Century Gothic" w:hAnsi="Century Gothic"/>
                <w:i/>
                <w:iCs/>
                <w:sz w:val="20"/>
                <w:szCs w:val="20"/>
              </w:rPr>
              <w:t>smart working skills</w:t>
            </w:r>
            <w:r w:rsidRPr="00A25A5B">
              <w:rPr>
                <w:rFonts w:ascii="Century Gothic" w:hAnsi="Century Gothic"/>
                <w:sz w:val="20"/>
                <w:szCs w:val="20"/>
              </w:rPr>
              <w:t xml:space="preserve">) </w:t>
            </w:r>
          </w:p>
        </w:tc>
      </w:tr>
      <w:tr w:rsidR="00A25A5B" w:rsidRPr="00A25A5B" w14:paraId="047A7DE9" w14:textId="77777777" w:rsidTr="00A25A5B">
        <w:tc>
          <w:tcPr>
            <w:tcW w:w="704" w:type="dxa"/>
          </w:tcPr>
          <w:p w14:paraId="771D5D93"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Q6</w:t>
            </w:r>
          </w:p>
        </w:tc>
        <w:tc>
          <w:tcPr>
            <w:tcW w:w="3119" w:type="dxa"/>
          </w:tcPr>
          <w:p w14:paraId="3C9BC810"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L’iniziativa prevede azioni di informazione e comunicazione </w:t>
            </w:r>
          </w:p>
        </w:tc>
        <w:tc>
          <w:tcPr>
            <w:tcW w:w="5805" w:type="dxa"/>
          </w:tcPr>
          <w:p w14:paraId="3F56EACD"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beneficiario, per l’ottenimento del valore del coefficiente pari ad 1, deve attuare iniziative di comunicazione ed informazione sulle attività progettuali ed i risultati ottenuti e presentare un adeguato Piano di Comunicazione</w:t>
            </w:r>
          </w:p>
        </w:tc>
      </w:tr>
      <w:tr w:rsidR="00A25A5B" w:rsidRPr="00A25A5B" w14:paraId="0E3808AF" w14:textId="77777777" w:rsidTr="00A25A5B">
        <w:tc>
          <w:tcPr>
            <w:tcW w:w="704" w:type="dxa"/>
          </w:tcPr>
          <w:p w14:paraId="6A3D1967"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Q7</w:t>
            </w:r>
          </w:p>
        </w:tc>
        <w:tc>
          <w:tcPr>
            <w:tcW w:w="3119" w:type="dxa"/>
          </w:tcPr>
          <w:p w14:paraId="45046261" w14:textId="77777777" w:rsidR="00A25A5B" w:rsidRPr="00A25A5B" w:rsidRDefault="00A25A5B" w:rsidP="00A25A5B">
            <w:pPr>
              <w:spacing w:after="160" w:line="278" w:lineRule="auto"/>
              <w:jc w:val="both"/>
              <w:rPr>
                <w:rFonts w:ascii="Century Gothic" w:hAnsi="Century Gothic"/>
                <w:iCs/>
                <w:sz w:val="20"/>
                <w:szCs w:val="20"/>
              </w:rPr>
            </w:pPr>
            <w:r w:rsidRPr="00A25A5B">
              <w:rPr>
                <w:rFonts w:ascii="Century Gothic" w:hAnsi="Century Gothic"/>
                <w:iCs/>
                <w:sz w:val="20"/>
                <w:szCs w:val="20"/>
              </w:rPr>
              <w:t xml:space="preserve">L’iniziativa capitalizza attività già realizzate cofinanziate dal FEAMP o da altri Fondi/Programmi UE o nazionali quali ad esempio Interreg, LIFE, Horizon </w:t>
            </w:r>
          </w:p>
        </w:tc>
        <w:tc>
          <w:tcPr>
            <w:tcW w:w="5805" w:type="dxa"/>
          </w:tcPr>
          <w:p w14:paraId="543EF489"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Il beneficiario, per l’ottenimento del valore del coefficiente pari ad 1, deve realizzare un’operazione che valorizza, diffonde, riusa, trasferisce risultati/output di un’altra operazione finanziata dal FEAMP o da altri Fondi/Programmi UE o nazionali </w:t>
            </w:r>
            <w:r w:rsidRPr="00A25A5B">
              <w:rPr>
                <w:rFonts w:ascii="Century Gothic" w:hAnsi="Century Gothic"/>
                <w:iCs/>
                <w:sz w:val="20"/>
                <w:szCs w:val="20"/>
              </w:rPr>
              <w:t>quali ad esempio Interreg, Life, Horizon</w:t>
            </w:r>
          </w:p>
        </w:tc>
      </w:tr>
      <w:tr w:rsidR="00A25A5B" w:rsidRPr="00A25A5B" w14:paraId="7795252F" w14:textId="77777777" w:rsidTr="00A25A5B">
        <w:tc>
          <w:tcPr>
            <w:tcW w:w="704" w:type="dxa"/>
          </w:tcPr>
          <w:p w14:paraId="16B1DE0B"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Q8</w:t>
            </w:r>
          </w:p>
        </w:tc>
        <w:tc>
          <w:tcPr>
            <w:tcW w:w="3119" w:type="dxa"/>
          </w:tcPr>
          <w:p w14:paraId="40A015E0"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L’iniziativa ricade in uno dei Comuni individuati nella SNAI </w:t>
            </w:r>
            <w:r w:rsidRPr="00A25A5B">
              <w:rPr>
                <w:rFonts w:ascii="Century Gothic" w:hAnsi="Century Gothic"/>
                <w:iCs/>
                <w:sz w:val="20"/>
                <w:szCs w:val="20"/>
              </w:rPr>
              <w:lastRenderedPageBreak/>
              <w:t xml:space="preserve">ovvero riguarda iniziative coerenti con la SNAI </w:t>
            </w:r>
          </w:p>
        </w:tc>
        <w:tc>
          <w:tcPr>
            <w:tcW w:w="5805" w:type="dxa"/>
          </w:tcPr>
          <w:p w14:paraId="58740FF6"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lastRenderedPageBreak/>
              <w:t xml:space="preserve">Per l’ottenimento del valore del coefficiente C pari ad 1 l’intervento deve riguardare iniziative relative alla </w:t>
            </w:r>
            <w:r w:rsidRPr="00A25A5B">
              <w:rPr>
                <w:rFonts w:ascii="Century Gothic" w:hAnsi="Century Gothic"/>
                <w:sz w:val="20"/>
                <w:szCs w:val="20"/>
              </w:rPr>
              <w:lastRenderedPageBreak/>
              <w:t>Strategia Nazionale per le Aree Interne (es investimenti in uno dei comuni della SNAI ovvero attività che riguardano la SNAI).</w:t>
            </w:r>
          </w:p>
        </w:tc>
      </w:tr>
      <w:tr w:rsidR="00A25A5B" w:rsidRPr="00A25A5B" w14:paraId="50652322" w14:textId="77777777" w:rsidTr="00A25A5B">
        <w:tc>
          <w:tcPr>
            <w:tcW w:w="704" w:type="dxa"/>
          </w:tcPr>
          <w:p w14:paraId="2FC06D98"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lastRenderedPageBreak/>
              <w:t>Q9</w:t>
            </w:r>
          </w:p>
        </w:tc>
        <w:tc>
          <w:tcPr>
            <w:tcW w:w="3119" w:type="dxa"/>
          </w:tcPr>
          <w:p w14:paraId="04391AE4" w14:textId="77777777" w:rsidR="00A25A5B" w:rsidRPr="00A25A5B" w:rsidRDefault="00A25A5B" w:rsidP="00A25A5B">
            <w:pPr>
              <w:spacing w:after="160" w:line="278" w:lineRule="auto"/>
              <w:jc w:val="both"/>
              <w:rPr>
                <w:rFonts w:ascii="Century Gothic" w:hAnsi="Century Gothic"/>
                <w:iCs/>
                <w:sz w:val="20"/>
                <w:szCs w:val="20"/>
              </w:rPr>
            </w:pPr>
            <w:r w:rsidRPr="00A25A5B">
              <w:rPr>
                <w:rFonts w:ascii="Century Gothic" w:hAnsi="Century Gothic"/>
                <w:sz w:val="20"/>
                <w:szCs w:val="20"/>
              </w:rPr>
              <w:t>L’intervento prevede azioni complementari e/o sinergiche a quelle finanziate con altri Fondi dell’Unione Europea/nazionali o Strategie macroregionali</w:t>
            </w:r>
          </w:p>
        </w:tc>
        <w:tc>
          <w:tcPr>
            <w:tcW w:w="5805" w:type="dxa"/>
          </w:tcPr>
          <w:p w14:paraId="1DC958EC"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Il beneficiario, per l’ottenimento del valore del coefficiente pari ad 1, deve realizzare un’operazione complementare ovvero sinergica ad almeno un’altra finanziata con altri Fondi dell’Unione Europea o nazionali o che contribuisce all’implementazione delle Strategie macroregionali e di bacino marittimo </w:t>
            </w:r>
          </w:p>
        </w:tc>
      </w:tr>
      <w:tr w:rsidR="00A25A5B" w:rsidRPr="00A25A5B" w14:paraId="056AC472" w14:textId="77777777" w:rsidTr="00A25A5B">
        <w:tc>
          <w:tcPr>
            <w:tcW w:w="9628" w:type="dxa"/>
            <w:gridSpan w:val="3"/>
          </w:tcPr>
          <w:p w14:paraId="5301C18B"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b/>
                <w:bCs/>
                <w:i/>
                <w:iCs/>
                <w:sz w:val="20"/>
                <w:szCs w:val="20"/>
              </w:rPr>
              <w:t>CRITERI SPECIFICI DELLE OPERAZIONI ATTIVATE</w:t>
            </w:r>
          </w:p>
        </w:tc>
      </w:tr>
      <w:tr w:rsidR="00A25A5B" w:rsidRPr="00A25A5B" w14:paraId="484963D5" w14:textId="77777777" w:rsidTr="00A25A5B">
        <w:tc>
          <w:tcPr>
            <w:tcW w:w="704" w:type="dxa"/>
          </w:tcPr>
          <w:p w14:paraId="6BFEFFCF" w14:textId="77777777" w:rsidR="00A25A5B" w:rsidRPr="00A25A5B" w:rsidRDefault="00A25A5B" w:rsidP="00A25A5B">
            <w:pPr>
              <w:spacing w:after="160" w:line="278" w:lineRule="auto"/>
              <w:rPr>
                <w:rFonts w:ascii="Century Gothic" w:hAnsi="Century Gothic"/>
                <w:b/>
                <w:bCs/>
                <w:sz w:val="20"/>
                <w:szCs w:val="20"/>
              </w:rPr>
            </w:pPr>
            <w:r w:rsidRPr="00A25A5B">
              <w:rPr>
                <w:rFonts w:ascii="Century Gothic" w:hAnsi="Century Gothic"/>
                <w:sz w:val="20"/>
                <w:szCs w:val="20"/>
              </w:rPr>
              <w:t>SO1</w:t>
            </w:r>
          </w:p>
        </w:tc>
        <w:tc>
          <w:tcPr>
            <w:tcW w:w="3119" w:type="dxa"/>
          </w:tcPr>
          <w:p w14:paraId="30A8A375" w14:textId="77777777" w:rsidR="00A25A5B" w:rsidRPr="00A25A5B" w:rsidRDefault="00A25A5B" w:rsidP="00A25A5B">
            <w:pPr>
              <w:spacing w:after="160" w:line="278" w:lineRule="auto"/>
              <w:jc w:val="both"/>
              <w:rPr>
                <w:rFonts w:ascii="Century Gothic" w:hAnsi="Century Gothic"/>
                <w:b/>
                <w:bCs/>
                <w:sz w:val="20"/>
                <w:szCs w:val="20"/>
              </w:rPr>
            </w:pPr>
            <w:r w:rsidRPr="00A25A5B">
              <w:rPr>
                <w:rFonts w:ascii="Century Gothic" w:hAnsi="Century Gothic"/>
                <w:iCs/>
                <w:sz w:val="20"/>
                <w:szCs w:val="20"/>
              </w:rPr>
              <w:t xml:space="preserve">Numero di operazioni attivate </w:t>
            </w:r>
          </w:p>
        </w:tc>
        <w:tc>
          <w:tcPr>
            <w:tcW w:w="5805" w:type="dxa"/>
          </w:tcPr>
          <w:p w14:paraId="509391B3"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La metodologia di calcolo del criterio dipende dal numero delle operazioni attivabili dall’intervento; così ad esempio se l’intervento prevede la possibilità di attivare n.3 operazioni: 1, 2, 41 di cui alla tabella 7 dell’allegato II del Reg. (UE) n.2022/79, il criterio potrà essere valutato assegnando un valore del coefficiente C in relazione al numero di operazioni attivate ad es. 1 op, C=0; 2 op C=0.5, 3 op C = 1  </w:t>
            </w:r>
          </w:p>
        </w:tc>
      </w:tr>
      <w:tr w:rsidR="00A25A5B" w:rsidRPr="00A25A5B" w14:paraId="13AEE318" w14:textId="77777777" w:rsidTr="00A25A5B">
        <w:tc>
          <w:tcPr>
            <w:tcW w:w="704" w:type="dxa"/>
          </w:tcPr>
          <w:p w14:paraId="4287BA1F"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SO2</w:t>
            </w:r>
          </w:p>
        </w:tc>
        <w:tc>
          <w:tcPr>
            <w:tcW w:w="3119" w:type="dxa"/>
          </w:tcPr>
          <w:p w14:paraId="6BFC05A2"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Costi di investimenti per la transizione green attraverso l’ammodernamento, l’adeguamento e la ristrutturazione degli impianti per l’aumento dell’efficientamento energetico e la conversione delle imprese verso fonti rinnovabili di energia </w:t>
            </w:r>
          </w:p>
        </w:tc>
        <w:tc>
          <w:tcPr>
            <w:tcW w:w="5805" w:type="dxa"/>
          </w:tcPr>
          <w:p w14:paraId="3E7117E8"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criterio è conteggiato mediante il rapporto tra i costi sostenuti per gli investimenti legati alla transizione green e chiaramente connessi all’attività di progetto rispetto al costo totale dell’investimento.</w:t>
            </w:r>
          </w:p>
        </w:tc>
      </w:tr>
      <w:tr w:rsidR="00A25A5B" w:rsidRPr="00A25A5B" w14:paraId="1711D386" w14:textId="77777777" w:rsidTr="00A25A5B">
        <w:tc>
          <w:tcPr>
            <w:tcW w:w="704" w:type="dxa"/>
          </w:tcPr>
          <w:p w14:paraId="374AD1F5"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SO3</w:t>
            </w:r>
          </w:p>
        </w:tc>
        <w:tc>
          <w:tcPr>
            <w:tcW w:w="3119" w:type="dxa"/>
          </w:tcPr>
          <w:p w14:paraId="4C656D5C"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Costi di investimenti per acquisto di macchinari e attrezzature chiaramente connessi all'attività di progetto per l’aumento dell’efficientamento energetico e la conversione delle imprese verso fonti rinnovabili di energia </w:t>
            </w:r>
          </w:p>
        </w:tc>
        <w:tc>
          <w:tcPr>
            <w:tcW w:w="5805" w:type="dxa"/>
          </w:tcPr>
          <w:p w14:paraId="6A213597"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criterio è conteggiato mediante il rapporto tra i costi sostenuti per gli investimenti in macchinari e attrezzature chiaramente connessi all’attività di progetto rispetto al costo totale dell’investimento.</w:t>
            </w:r>
          </w:p>
        </w:tc>
      </w:tr>
      <w:tr w:rsidR="00A25A5B" w:rsidRPr="00A25A5B" w14:paraId="535EB05C" w14:textId="77777777" w:rsidTr="00A25A5B">
        <w:tc>
          <w:tcPr>
            <w:tcW w:w="704" w:type="dxa"/>
          </w:tcPr>
          <w:p w14:paraId="21EC8436"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SO4</w:t>
            </w:r>
          </w:p>
        </w:tc>
        <w:tc>
          <w:tcPr>
            <w:tcW w:w="3119" w:type="dxa"/>
          </w:tcPr>
          <w:p w14:paraId="0998DEDE"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Quantità di energia prodotta con fonti rinnovabili previsti a seguito della realizzazione dell’iniziativa</w:t>
            </w:r>
          </w:p>
        </w:tc>
        <w:tc>
          <w:tcPr>
            <w:tcW w:w="5805" w:type="dxa"/>
          </w:tcPr>
          <w:p w14:paraId="48AA968E"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criterio è misurato calcolando il valore del coefficiente C, quale rapporto tra l’energia proveniente da fonti rinnovabili che si produrrà a seguito della realizzazione dell’intervento, da dimostrare mediante idonea documentazione, sul fabbisogno totale dell’impresa. I valori devono essere conteggiati in kWh</w:t>
            </w:r>
          </w:p>
        </w:tc>
      </w:tr>
      <w:tr w:rsidR="00A25A5B" w:rsidRPr="00A25A5B" w14:paraId="78DA52F2" w14:textId="77777777" w:rsidTr="00A25A5B">
        <w:tc>
          <w:tcPr>
            <w:tcW w:w="704" w:type="dxa"/>
          </w:tcPr>
          <w:p w14:paraId="72A08D0A"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lastRenderedPageBreak/>
              <w:t>SO5</w:t>
            </w:r>
          </w:p>
        </w:tc>
        <w:tc>
          <w:tcPr>
            <w:tcW w:w="3119" w:type="dxa"/>
          </w:tcPr>
          <w:p w14:paraId="144FADC0"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L’iniziativa prevede la connessione dell'impianto ad una </w:t>
            </w:r>
            <w:r w:rsidRPr="00A25A5B">
              <w:rPr>
                <w:rFonts w:ascii="Century Gothic" w:hAnsi="Century Gothic"/>
                <w:i/>
                <w:sz w:val="20"/>
                <w:szCs w:val="20"/>
              </w:rPr>
              <w:t>smart grid</w:t>
            </w:r>
          </w:p>
        </w:tc>
        <w:tc>
          <w:tcPr>
            <w:tcW w:w="5805" w:type="dxa"/>
          </w:tcPr>
          <w:p w14:paraId="4FC94EA1"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 xml:space="preserve">Per ottenere il valore del coefficiente pari a 1, l’iniziativa prevede l’adesione ad una </w:t>
            </w:r>
            <w:r w:rsidRPr="00A25A5B">
              <w:rPr>
                <w:rFonts w:ascii="Century Gothic" w:hAnsi="Century Gothic"/>
                <w:i/>
                <w:iCs/>
                <w:sz w:val="20"/>
                <w:szCs w:val="20"/>
              </w:rPr>
              <w:t>smart grid</w:t>
            </w:r>
            <w:r w:rsidRPr="00A25A5B">
              <w:rPr>
                <w:rFonts w:ascii="Century Gothic" w:hAnsi="Century Gothic"/>
                <w:sz w:val="20"/>
                <w:szCs w:val="20"/>
              </w:rPr>
              <w:t xml:space="preserve"> in qualità di utilizzatore di energia prodotta da una comunità energetica</w:t>
            </w:r>
          </w:p>
        </w:tc>
      </w:tr>
      <w:tr w:rsidR="00A25A5B" w:rsidRPr="00A25A5B" w14:paraId="0BA58B16" w14:textId="77777777" w:rsidTr="00A25A5B">
        <w:tc>
          <w:tcPr>
            <w:tcW w:w="704" w:type="dxa"/>
          </w:tcPr>
          <w:p w14:paraId="6AAD13A9" w14:textId="77777777" w:rsidR="00A25A5B" w:rsidRPr="00A25A5B" w:rsidRDefault="00A25A5B" w:rsidP="00A25A5B">
            <w:pPr>
              <w:spacing w:after="160" w:line="278" w:lineRule="auto"/>
              <w:rPr>
                <w:rFonts w:ascii="Century Gothic" w:hAnsi="Century Gothic"/>
                <w:sz w:val="20"/>
                <w:szCs w:val="20"/>
              </w:rPr>
            </w:pPr>
            <w:r w:rsidRPr="00A25A5B">
              <w:rPr>
                <w:rFonts w:ascii="Century Gothic" w:hAnsi="Century Gothic"/>
                <w:sz w:val="20"/>
                <w:szCs w:val="20"/>
              </w:rPr>
              <w:t>SO6</w:t>
            </w:r>
          </w:p>
        </w:tc>
        <w:tc>
          <w:tcPr>
            <w:tcW w:w="3119" w:type="dxa"/>
          </w:tcPr>
          <w:p w14:paraId="0CD81D14"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L’iniziativa prevede interventi che contribuiscono a ridurre l'impatto sull'ambiente (es. trattamento dei rifiuti, riduzione dell’utilizzo della plastica nel ciclo di produzione ovvero per il riciclo del materiale plastico)</w:t>
            </w:r>
          </w:p>
        </w:tc>
        <w:tc>
          <w:tcPr>
            <w:tcW w:w="5805" w:type="dxa"/>
          </w:tcPr>
          <w:p w14:paraId="59E04435" w14:textId="77777777" w:rsidR="00A25A5B" w:rsidRPr="00A25A5B" w:rsidRDefault="00A25A5B" w:rsidP="00A25A5B">
            <w:pPr>
              <w:spacing w:after="160" w:line="278" w:lineRule="auto"/>
              <w:jc w:val="both"/>
              <w:rPr>
                <w:rFonts w:ascii="Century Gothic" w:hAnsi="Century Gothic"/>
                <w:sz w:val="20"/>
                <w:szCs w:val="20"/>
              </w:rPr>
            </w:pPr>
            <w:r w:rsidRPr="00A25A5B">
              <w:rPr>
                <w:rFonts w:ascii="Century Gothic" w:hAnsi="Century Gothic"/>
                <w:sz w:val="20"/>
                <w:szCs w:val="20"/>
              </w:rPr>
              <w:t>Il criterio è conteggiato mediante il rapporto tra i costi sostenuti per gli investimenti legati alla ridurre l'impatto sull'ambiente e chiaramente connessi all’attività di progetto rispetto al costo totale dell’investimento.</w:t>
            </w:r>
          </w:p>
        </w:tc>
      </w:tr>
    </w:tbl>
    <w:p w14:paraId="28EAEF5C" w14:textId="77777777" w:rsidR="00A25A5B" w:rsidRDefault="00A25A5B"/>
    <w:sectPr w:rsidR="00A25A5B">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3E08" w14:textId="77777777" w:rsidR="00A25A5B" w:rsidRDefault="00A25A5B" w:rsidP="00A25A5B">
      <w:pPr>
        <w:spacing w:after="0" w:line="240" w:lineRule="auto"/>
      </w:pPr>
      <w:r>
        <w:separator/>
      </w:r>
    </w:p>
  </w:endnote>
  <w:endnote w:type="continuationSeparator" w:id="0">
    <w:p w14:paraId="36322992" w14:textId="77777777" w:rsidR="00A25A5B" w:rsidRDefault="00A25A5B" w:rsidP="00A25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C8AA" w14:textId="77777777" w:rsidR="00A25A5B" w:rsidRDefault="00A25A5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74FA" w14:textId="77777777" w:rsidR="00A25A5B" w:rsidRDefault="00A25A5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A684" w14:textId="77777777" w:rsidR="00A25A5B" w:rsidRDefault="00A25A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3A7C" w14:textId="77777777" w:rsidR="00A25A5B" w:rsidRDefault="00A25A5B" w:rsidP="00A25A5B">
      <w:pPr>
        <w:spacing w:after="0" w:line="240" w:lineRule="auto"/>
      </w:pPr>
      <w:r>
        <w:separator/>
      </w:r>
    </w:p>
  </w:footnote>
  <w:footnote w:type="continuationSeparator" w:id="0">
    <w:p w14:paraId="252464E0" w14:textId="77777777" w:rsidR="00A25A5B" w:rsidRDefault="00A25A5B" w:rsidP="00A25A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348F" w14:textId="77777777" w:rsidR="00A25A5B" w:rsidRDefault="00A25A5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8E228" w14:textId="7247C073" w:rsidR="00A25A5B" w:rsidRDefault="00A25A5B">
    <w:pPr>
      <w:pStyle w:val="Intestazione"/>
    </w:pPr>
    <w:r>
      <w:t>AZIONE 1</w:t>
    </w:r>
  </w:p>
  <w:p w14:paraId="50F86638" w14:textId="77777777" w:rsidR="00A25A5B" w:rsidRDefault="00A25A5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630C" w14:textId="77777777" w:rsidR="00A25A5B" w:rsidRDefault="00A25A5B">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5B"/>
    <w:rsid w:val="005A44DE"/>
    <w:rsid w:val="00A25A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79438"/>
  <w15:chartTrackingRefBased/>
  <w15:docId w15:val="{0B795FE1-221B-42F8-B8A1-C025C7E3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25A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25A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25A5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25A5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25A5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25A5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25A5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25A5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25A5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25A5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25A5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25A5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25A5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25A5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25A5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25A5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25A5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25A5B"/>
    <w:rPr>
      <w:rFonts w:eastAsiaTheme="majorEastAsia" w:cstheme="majorBidi"/>
      <w:color w:val="272727" w:themeColor="text1" w:themeTint="D8"/>
    </w:rPr>
  </w:style>
  <w:style w:type="paragraph" w:styleId="Titolo">
    <w:name w:val="Title"/>
    <w:basedOn w:val="Normale"/>
    <w:next w:val="Normale"/>
    <w:link w:val="TitoloCarattere"/>
    <w:uiPriority w:val="10"/>
    <w:qFormat/>
    <w:rsid w:val="00A25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25A5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25A5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25A5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25A5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25A5B"/>
    <w:rPr>
      <w:i/>
      <w:iCs/>
      <w:color w:val="404040" w:themeColor="text1" w:themeTint="BF"/>
    </w:rPr>
  </w:style>
  <w:style w:type="paragraph" w:styleId="Paragrafoelenco">
    <w:name w:val="List Paragraph"/>
    <w:basedOn w:val="Normale"/>
    <w:uiPriority w:val="34"/>
    <w:qFormat/>
    <w:rsid w:val="00A25A5B"/>
    <w:pPr>
      <w:ind w:left="720"/>
      <w:contextualSpacing/>
    </w:pPr>
  </w:style>
  <w:style w:type="character" w:styleId="Enfasiintensa">
    <w:name w:val="Intense Emphasis"/>
    <w:basedOn w:val="Carpredefinitoparagrafo"/>
    <w:uiPriority w:val="21"/>
    <w:qFormat/>
    <w:rsid w:val="00A25A5B"/>
    <w:rPr>
      <w:i/>
      <w:iCs/>
      <w:color w:val="0F4761" w:themeColor="accent1" w:themeShade="BF"/>
    </w:rPr>
  </w:style>
  <w:style w:type="paragraph" w:styleId="Citazioneintensa">
    <w:name w:val="Intense Quote"/>
    <w:basedOn w:val="Normale"/>
    <w:next w:val="Normale"/>
    <w:link w:val="CitazioneintensaCarattere"/>
    <w:uiPriority w:val="30"/>
    <w:qFormat/>
    <w:rsid w:val="00A25A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25A5B"/>
    <w:rPr>
      <w:i/>
      <w:iCs/>
      <w:color w:val="0F4761" w:themeColor="accent1" w:themeShade="BF"/>
    </w:rPr>
  </w:style>
  <w:style w:type="character" w:styleId="Riferimentointenso">
    <w:name w:val="Intense Reference"/>
    <w:basedOn w:val="Carpredefinitoparagrafo"/>
    <w:uiPriority w:val="32"/>
    <w:qFormat/>
    <w:rsid w:val="00A25A5B"/>
    <w:rPr>
      <w:b/>
      <w:bCs/>
      <w:smallCaps/>
      <w:color w:val="0F4761" w:themeColor="accent1" w:themeShade="BF"/>
      <w:spacing w:val="5"/>
    </w:rPr>
  </w:style>
  <w:style w:type="table" w:styleId="Grigliatabella">
    <w:name w:val="Table Grid"/>
    <w:basedOn w:val="Tabellanormale"/>
    <w:uiPriority w:val="39"/>
    <w:rsid w:val="00A25A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25A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5A5B"/>
  </w:style>
  <w:style w:type="paragraph" w:styleId="Pidipagina">
    <w:name w:val="footer"/>
    <w:basedOn w:val="Normale"/>
    <w:link w:val="PidipaginaCarattere"/>
    <w:uiPriority w:val="99"/>
    <w:unhideWhenUsed/>
    <w:rsid w:val="00A25A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1300</Words>
  <Characters>7412</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Bigo</dc:creator>
  <cp:keywords/>
  <dc:description/>
  <cp:lastModifiedBy>Angelica Bigo</cp:lastModifiedBy>
  <cp:revision>1</cp:revision>
  <dcterms:created xsi:type="dcterms:W3CDTF">2025-09-03T13:40:00Z</dcterms:created>
  <dcterms:modified xsi:type="dcterms:W3CDTF">2025-09-03T13:44:00Z</dcterms:modified>
</cp:coreProperties>
</file>